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33"/>
        <w:gridCol w:w="1567"/>
        <w:gridCol w:w="2930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10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SAIPUL</w:t>
            </w:r>
            <w:r>
              <w:rPr>
                <w:rFonts w:ascii="Arial MT"/>
                <w:sz w:val="15"/>
              </w:rPr>
              <w:t> BAHRI, S.IP, M.Sos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SAIPUL</w:t>
            </w:r>
            <w:r>
              <w:rPr>
                <w:rFonts w:ascii="Arial MT"/>
                <w:sz w:val="15"/>
              </w:rPr>
              <w:t> BAHRI, S.IP, M.Sos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RB.III.6</w:t>
            </w:r>
          </w:p>
        </w:tc>
        <w:tc>
          <w:tcPr>
            <w:tcW w:w="1567" w:type="dxa"/>
          </w:tcPr>
          <w:p>
            <w:pPr>
              <w:pStyle w:val="TableParagraph"/>
              <w:spacing w:line="15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SYAHRA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MITHA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HALIMATUSSA'DIAH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GIFAR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AUDREY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GHASSANI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LISHAR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FLORENTINA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ADEK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HARISMAN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GIDEON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4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3" w:right="19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7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7" w:right="19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33"/>
        <w:gridCol w:w="1567"/>
        <w:gridCol w:w="2930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10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SAIPUL</w:t>
            </w:r>
            <w:r>
              <w:rPr>
                <w:rFonts w:ascii="Arial MT"/>
                <w:sz w:val="15"/>
              </w:rPr>
              <w:t> BAHRI, S.IP, M.Sos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SAIPUL</w:t>
            </w:r>
            <w:r>
              <w:rPr>
                <w:rFonts w:ascii="Arial MT"/>
                <w:sz w:val="15"/>
              </w:rPr>
              <w:t> BAHRI, S.IP, M.Sos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RB.III.6</w:t>
            </w:r>
          </w:p>
        </w:tc>
        <w:tc>
          <w:tcPr>
            <w:tcW w:w="1567" w:type="dxa"/>
          </w:tcPr>
          <w:p>
            <w:pPr>
              <w:pStyle w:val="TableParagraph"/>
              <w:spacing w:line="15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TOMMY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ZULFIKAR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WANDIRA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ROTAYU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TETTY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JUWILDA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ARUM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RICCO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MAISYARAH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SYIFA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CLARITA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NAZIA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4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3" w:right="19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7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7" w:right="19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33"/>
        <w:gridCol w:w="1567"/>
        <w:gridCol w:w="2930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10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SAIPUL</w:t>
            </w:r>
            <w:r>
              <w:rPr>
                <w:rFonts w:ascii="Arial MT"/>
                <w:sz w:val="15"/>
              </w:rPr>
              <w:t> BAHRI, S.IP, M.Sos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SAIPUL</w:t>
            </w:r>
            <w:r>
              <w:rPr>
                <w:rFonts w:ascii="Arial MT"/>
                <w:sz w:val="15"/>
              </w:rPr>
              <w:t> BAHRI, S.IP, M.Sos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67" w:type="dxa"/>
          </w:tcPr>
          <w:p>
            <w:pPr>
              <w:pStyle w:val="TableParagraph"/>
              <w:spacing w:line="16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RB.III.6</w:t>
            </w:r>
          </w:p>
        </w:tc>
        <w:tc>
          <w:tcPr>
            <w:tcW w:w="1567" w:type="dxa"/>
          </w:tcPr>
          <w:p>
            <w:pPr>
              <w:pStyle w:val="TableParagraph"/>
              <w:spacing w:line="153" w:lineRule="exact" w:before="6"/>
              <w:ind w:left="25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KHOLIDAH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SIMANIHURUK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MELIAKI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4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3" w:right="19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7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7" w:right="19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6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6785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67848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678438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6783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678336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6782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79001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78950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78899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78848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787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787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7869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7864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7859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7823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7818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7813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7808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780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7797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779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7787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7782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2021-11-01T02:21:11Z</dcterms:created>
  <dcterms:modified xsi:type="dcterms:W3CDTF">2021-11-01T02:21:11Z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